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1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Varied Learning Experiences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1.2, 1.4, 2.4)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Students access content primarily through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0"/>
                <w:szCs w:val="20"/>
                <w:rtl w:val="0"/>
              </w:rPr>
              <w:t xml:space="preserve">unvaried learning experiences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 that may be generic, inauthentic, and disproportionately focused on lower cognitive levels that lack rigor.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Students access content through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0"/>
                <w:szCs w:val="20"/>
                <w:rtl w:val="0"/>
              </w:rPr>
              <w:t xml:space="preserve">varied learning experiences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, but experiences may be generic and/or inauthentic.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Students access the content through varied learning experiences that include multiple opportunities for transfer of knowledge, extending the application of knowledge and skill to new and novel contexts.  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Students access content through a variety of learning experiences which capture the range of cognitive rigor across the curriculum, and offer opportunities for transfer of knowledge in authentic, relevant, and rigorous ways. 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tend to engage in one or two types of learning experiences most of the time. E.g., a teacher may always or almost always introduce new content through direct instruction; student independent practice may often include worksheets.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tend to be uniform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across the entire class of students, i.e., learning experiences may not be differentiated to address different student needs.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may be in need of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real-world application and relevance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to students.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may include “busy work”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that is rote, i.e., work that is primarily about memorization and repetition.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tend to have a greater focus on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Knowledge and Comprehension on Bloom’s Taxonomy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hd w:fill="ffffff" w:val="clear"/>
              <w:spacing w:before="12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engage in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multiple types of learning experiences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on any given day or class period. Eg., project-based learning with a peer group, virtual learning via adaptive software, independent work (e.g., independent reading or writing),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a2a2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are authentic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(real-world)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relevant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to students’ interests and aspirations. E.g., a group project may address the essential question, “How does the summer drought affect the plants in my neighborhood?”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Teachers use a range of instructional strategies to support student needs and areas for growth.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drive toward Application, Analysis, Synthesis, and Evaluation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on Bloom’s Taxonomy. I.e., students consistently engage with content at higher levels of rigor.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Learning experiences include meaningful and purposeful opportunities for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group collaboration, problem-solving, reflection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hd w:fill="ffffff" w:val="clear"/>
              <w:spacing w:before="12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Lesson planning reflects the teacher’s understanding of how to scaffold students to higher levels of cognitive rigor.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hd w:fill="ffffff" w:val="clear"/>
              <w:spacing w:before="12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Explicit opportunities for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transfer of knowledge and skill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are offered either through instructional methodologies, ie: PBL, inquiry-based learning, etc and/or through assessment practices, ie: performance assessment, portfolio defense,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hd w:fill="ffffff" w:val="clear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types of activities are students engaged in? What do the activities ask of the student?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different groups of students engaged in different learning experiences?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learning experiences authentic, i.e., do they reflect a real-world problem or allow for real-world application?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learning experiences rigorous? I.e., are the learning experiences appropriately challenging for the student based on data?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learning experiences relevant to the student? I.e., do learning experiences reflect student interests and aspirations?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trends do you notice over time when observing?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evidence do you see in planning documents for scaffolding learners towards higher levels of cognitive rigor?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instructional and assessment practices allow students to transfer their knowledge and skill?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5648325</wp:posOffset>
            </wp:positionH>
            <wp:positionV relativeFrom="paragraph">
              <wp:posOffset>647700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